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auto" w:val="clear"/>
        <w:ind w:right="0"/>
        <w:rPr/>
      </w:pPr>
      <w:r w:rsidDel="00000000" w:rsidR="00000000" w:rsidRPr="00000000">
        <w:rPr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tl w:val="0"/>
        </w:rPr>
        <w:t xml:space="preserve">section 217.1 of the </w:t>
      </w:r>
      <w:r w:rsidDel="00000000" w:rsidR="00000000" w:rsidRPr="00000000">
        <w:rPr>
          <w:i w:val="1"/>
          <w:rtl w:val="0"/>
        </w:rPr>
        <w:t xml:space="preserve">Criminal Code of Canada</w:t>
      </w:r>
      <w:r w:rsidDel="00000000" w:rsidR="00000000" w:rsidRPr="00000000">
        <w:rPr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“Person directing work” means any </w:t>
      </w:r>
      <w:r w:rsidDel="00000000" w:rsidR="00000000" w:rsidRPr="00000000">
        <w:rPr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tl w:val="0"/>
        </w:rPr>
        <w:t xml:space="preserve">according to section 217.1 of the </w:t>
      </w:r>
      <w:r w:rsidDel="00000000" w:rsidR="00000000" w:rsidRPr="00000000">
        <w:rPr>
          <w:i w:val="1"/>
          <w:rtl w:val="0"/>
        </w:rPr>
        <w:t xml:space="preserve">Criminal Code of Canada</w:t>
      </w:r>
      <w:r w:rsidDel="00000000" w:rsidR="00000000" w:rsidRPr="00000000">
        <w:rPr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[Organization Name] understands that the </w:t>
      </w:r>
      <w:r w:rsidDel="00000000" w:rsidR="00000000" w:rsidRPr="00000000">
        <w:rPr>
          <w:i w:val="1"/>
          <w:rtl w:val="0"/>
        </w:rPr>
        <w:t xml:space="preserve">Criminal Code of Canada</w:t>
      </w:r>
      <w:r w:rsidDel="00000000" w:rsidR="00000000" w:rsidRPr="00000000">
        <w:rPr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0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0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0"/>
        <w:rPr/>
      </w:pPr>
      <w:r w:rsidDel="00000000" w:rsidR="00000000" w:rsidRPr="00000000">
        <w:rPr>
          <w:highlight w:val="white"/>
          <w:rtl w:val="0"/>
        </w:rPr>
        <w:t xml:space="preserve">Further, [Organization Name] </w:t>
      </w:r>
      <w:r w:rsidDel="00000000" w:rsidR="00000000" w:rsidRPr="00000000">
        <w:rPr>
          <w:rtl w:val="0"/>
        </w:rPr>
        <w:t xml:space="preserve">will uphold all rights all employees have under </w:t>
      </w:r>
      <w:r w:rsidDel="00000000" w:rsidR="00000000" w:rsidRPr="00000000">
        <w:rPr>
          <w:i w:val="1"/>
          <w:rtl w:val="0"/>
        </w:rPr>
        <w:t xml:space="preserve">The Workplace Safety and Health Act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19">
      <w:pPr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right="0" w:hanging="360"/>
      </w:pPr>
      <w:r w:rsidDel="00000000" w:rsidR="00000000" w:rsidRPr="00000000">
        <w:rPr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right="0" w:hanging="360"/>
      </w:pPr>
      <w:r w:rsidDel="00000000" w:rsidR="00000000" w:rsidRPr="00000000">
        <w:rPr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720" w:right="0" w:hanging="360"/>
      </w:pPr>
      <w:r w:rsidDel="00000000" w:rsidR="00000000" w:rsidRPr="00000000">
        <w:rPr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ind w:right="0"/>
        <w:rPr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right="0"/>
        <w:rPr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right="0"/>
        <w:rPr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right="0"/>
        <w:rPr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right="0"/>
        <w:rPr>
          <w:color w:val="1a1a1a"/>
          <w:u w:val="single"/>
        </w:rPr>
      </w:pPr>
      <w:r w:rsidDel="00000000" w:rsidR="00000000" w:rsidRPr="00000000">
        <w:rPr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22">
      <w:pPr>
        <w:shd w:fill="ffffff" w:val="clear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ind w:right="0"/>
        <w:rPr/>
      </w:pPr>
      <w:r w:rsidDel="00000000" w:rsidR="00000000" w:rsidRPr="00000000">
        <w:rPr>
          <w:rtl w:val="0"/>
        </w:rPr>
        <w:t xml:space="preserve">Manitoba’s Workplace Safety and Health Act sets out certain specific duties for workplace supervisors. A supervisor must:</w:t>
      </w:r>
    </w:p>
    <w:p w:rsidR="00000000" w:rsidDel="00000000" w:rsidP="00000000" w:rsidRDefault="00000000" w:rsidRPr="00000000" w14:paraId="00000024">
      <w:pPr>
        <w:shd w:fill="ffffff" w:val="clear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9">
      <w:pPr>
        <w:shd w:fill="ffffff" w:val="clear"/>
        <w:ind w:right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ind w:right="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right="0"/>
        <w:rPr/>
      </w:pPr>
      <w:r w:rsidDel="00000000" w:rsidR="00000000" w:rsidRPr="00000000">
        <w:rPr>
          <w:rtl w:val="0"/>
        </w:rPr>
        <w:t xml:space="preserve">Employees must comply with their duties under </w:t>
      </w:r>
      <w:r w:rsidDel="00000000" w:rsidR="00000000" w:rsidRPr="00000000">
        <w:rPr>
          <w:i w:val="1"/>
          <w:rtl w:val="0"/>
        </w:rPr>
        <w:t xml:space="preserve">The Workplace Safety and Health Act</w:t>
      </w:r>
      <w:r w:rsidDel="00000000" w:rsidR="00000000" w:rsidRPr="00000000">
        <w:rPr>
          <w:rtl w:val="0"/>
        </w:rPr>
        <w:t xml:space="preserve"> to: </w:t>
      </w:r>
    </w:p>
    <w:p w:rsidR="00000000" w:rsidDel="00000000" w:rsidP="00000000" w:rsidRDefault="00000000" w:rsidRPr="00000000" w14:paraId="0000002D">
      <w:pPr>
        <w:shd w:fill="ffffff" w:val="clear"/>
        <w:ind w:right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ind w:left="720" w:right="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ind w:left="720" w:right="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ind w:left="720" w:right="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color w:val="1a1a1a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ind w:left="720" w:right="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color w:val="1a1a1a"/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32">
      <w:pPr>
        <w:shd w:fill="ffffff" w:val="clear"/>
        <w:ind w:right="0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0"/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680"/>
      </w:tabs>
      <w:ind w:right="0"/>
      <w:jc w:val="center"/>
      <w:rPr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WkPlkrrf7NTpWr1hcPUw0S0ww==">CgMxLjA4AHIhMTRwR2p6RXFhR0JiQnZiOTl1RWRXU2pIYl9vUnVWZVNw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